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15351" w14:textId="77777777" w:rsidR="0006445A" w:rsidRPr="00D2355A" w:rsidRDefault="0006445A" w:rsidP="0006445A">
      <w:pPr>
        <w:rPr>
          <w:b/>
          <w:sz w:val="28"/>
          <w:szCs w:val="28"/>
        </w:rPr>
      </w:pPr>
      <w:r w:rsidRPr="00D2355A">
        <w:rPr>
          <w:b/>
          <w:sz w:val="28"/>
          <w:szCs w:val="28"/>
        </w:rPr>
        <w:t>Processbeskrivning</w:t>
      </w:r>
    </w:p>
    <w:p w14:paraId="31C62DEF" w14:textId="77777777" w:rsidR="0006445A" w:rsidRPr="00D2355A" w:rsidRDefault="00F14C43" w:rsidP="0006445A">
      <w:pPr>
        <w:rPr>
          <w:b/>
          <w:sz w:val="24"/>
          <w:szCs w:val="24"/>
        </w:rPr>
      </w:pPr>
      <w:r>
        <w:rPr>
          <w:b/>
          <w:sz w:val="24"/>
          <w:szCs w:val="24"/>
        </w:rPr>
        <w:t>Studiemedel</w:t>
      </w:r>
    </w:p>
    <w:p w14:paraId="1ADCE5B2" w14:textId="77777777" w:rsidR="0006445A" w:rsidRPr="00D2355A" w:rsidRDefault="0006445A" w:rsidP="0006445A">
      <w:pPr>
        <w:numPr>
          <w:ilvl w:val="0"/>
          <w:numId w:val="1"/>
        </w:numPr>
      </w:pPr>
      <w:r w:rsidRPr="00D2355A">
        <w:t xml:space="preserve">Person </w:t>
      </w:r>
      <w:r w:rsidR="00F14C43">
        <w:t>söker om studiemedel via blankett eller via nätet.</w:t>
      </w:r>
    </w:p>
    <w:p w14:paraId="27649629" w14:textId="77777777" w:rsidR="0006445A" w:rsidRDefault="00F14C43" w:rsidP="0006445A">
      <w:pPr>
        <w:numPr>
          <w:ilvl w:val="0"/>
          <w:numId w:val="1"/>
        </w:numPr>
      </w:pPr>
      <w:r>
        <w:t>Ansökan ankomstregistreras och grundregistreras</w:t>
      </w:r>
      <w:r w:rsidR="00B03D25">
        <w:t xml:space="preserve">. </w:t>
      </w:r>
      <w:r w:rsidR="00CB236F">
        <w:t>Status på ärendet sätts till Initierat och värden finns i tabellen ”Studiemedel”</w:t>
      </w:r>
      <w:r w:rsidR="006519D2">
        <w:t xml:space="preserve">. Har grundregistrering kunnat göras finns även värden i </w:t>
      </w:r>
      <w:r w:rsidR="00CB236F">
        <w:t>”</w:t>
      </w:r>
      <w:r w:rsidR="006519D2">
        <w:t>Sökta tider</w:t>
      </w:r>
      <w:r w:rsidR="00CB236F">
        <w:t>”</w:t>
      </w:r>
    </w:p>
    <w:p w14:paraId="58E17B15" w14:textId="77777777" w:rsidR="00F14C43" w:rsidRDefault="00F14C43" w:rsidP="0006445A">
      <w:pPr>
        <w:numPr>
          <w:ilvl w:val="0"/>
          <w:numId w:val="1"/>
        </w:numPr>
      </w:pPr>
      <w:r>
        <w:t>Saknas något i ansökan skickas en komplettering ut till kunden.</w:t>
      </w:r>
    </w:p>
    <w:p w14:paraId="5D3BCCD0" w14:textId="77777777" w:rsidR="006519D2" w:rsidRDefault="00F14C43" w:rsidP="0006445A">
      <w:pPr>
        <w:numPr>
          <w:ilvl w:val="0"/>
          <w:numId w:val="1"/>
        </w:numPr>
      </w:pPr>
      <w:r>
        <w:t>Om inget saknas i ansökan alt att komplettering kommit in så fattas beslut(Bifall/Avslag/Avslut)</w:t>
      </w:r>
      <w:r w:rsidR="006519D2">
        <w:t xml:space="preserve">. </w:t>
      </w:r>
    </w:p>
    <w:p w14:paraId="5A2D2EE3" w14:textId="77777777" w:rsidR="00F14C43" w:rsidRDefault="0006445A" w:rsidP="0006445A">
      <w:pPr>
        <w:numPr>
          <w:ilvl w:val="0"/>
          <w:numId w:val="1"/>
        </w:numPr>
      </w:pPr>
      <w:r w:rsidRPr="00D2355A">
        <w:t xml:space="preserve">Om </w:t>
      </w:r>
      <w:r w:rsidR="00F14C43">
        <w:t xml:space="preserve">ansökan </w:t>
      </w:r>
      <w:r w:rsidRPr="00D2355A">
        <w:t xml:space="preserve">beviljas </w:t>
      </w:r>
      <w:r w:rsidR="00CB236F">
        <w:t>visas</w:t>
      </w:r>
      <w:r w:rsidR="006519D2">
        <w:t xml:space="preserve"> uppgifter i </w:t>
      </w:r>
      <w:r w:rsidR="00CB236F">
        <w:t>tabellen ”Beviljat</w:t>
      </w:r>
      <w:r w:rsidR="00F14C43">
        <w:t xml:space="preserve"> studiemedel </w:t>
      </w:r>
      <w:r w:rsidR="00CB236F">
        <w:t>”</w:t>
      </w:r>
      <w:r w:rsidR="006519D2">
        <w:t xml:space="preserve"> </w:t>
      </w:r>
      <w:r w:rsidR="00F14C43">
        <w:t>och en utbetalningsplan skapas</w:t>
      </w:r>
      <w:r w:rsidR="00CB236F">
        <w:t>. Utbetalningsplanen visas i tabellen ”Utbetalningsplan”</w:t>
      </w:r>
      <w:r w:rsidR="00F14C43">
        <w:t xml:space="preserve">. </w:t>
      </w:r>
    </w:p>
    <w:p w14:paraId="126CA6D0" w14:textId="77777777" w:rsidR="0006445A" w:rsidRPr="00D2355A" w:rsidRDefault="00F14C43" w:rsidP="0006445A">
      <w:pPr>
        <w:numPr>
          <w:ilvl w:val="0"/>
          <w:numId w:val="1"/>
        </w:numPr>
      </w:pPr>
      <w:r>
        <w:t>Om ansökan inte beviljas saknas uppgifter om beviljat studiemedel och utbetalningsplan.</w:t>
      </w:r>
      <w:r w:rsidR="0006445A" w:rsidRPr="00D2355A">
        <w:t xml:space="preserve"> </w:t>
      </w:r>
    </w:p>
    <w:p w14:paraId="6D484610" w14:textId="77777777" w:rsidR="00F14C43" w:rsidRDefault="00F14C43" w:rsidP="0006445A">
      <w:pPr>
        <w:numPr>
          <w:ilvl w:val="0"/>
          <w:numId w:val="1"/>
        </w:numPr>
      </w:pPr>
      <w:r>
        <w:t xml:space="preserve">I samband med studiestart </w:t>
      </w:r>
      <w:r w:rsidR="008607ED">
        <w:t xml:space="preserve">för de perioder som beviljats </w:t>
      </w:r>
      <w:r>
        <w:t xml:space="preserve">ska kunden skicka in en studieförsäkran för att få </w:t>
      </w:r>
      <w:r w:rsidR="008607ED">
        <w:t xml:space="preserve">studiemedel </w:t>
      </w:r>
      <w:r>
        <w:t>ut</w:t>
      </w:r>
      <w:r w:rsidR="008607ED">
        <w:t>betalda</w:t>
      </w:r>
      <w:r>
        <w:t>.</w:t>
      </w:r>
      <w:r w:rsidR="006519D2">
        <w:t xml:space="preserve"> Så länge ingen studieförsäkran skickats in visas </w:t>
      </w:r>
      <w:r w:rsidR="00CB236F">
        <w:t>det genom</w:t>
      </w:r>
      <w:r w:rsidR="006519D2">
        <w:t xml:space="preserve"> att den första utbetalningen för perioden har status </w:t>
      </w:r>
      <w:r w:rsidR="00CB236F">
        <w:t>”</w:t>
      </w:r>
      <w:r w:rsidR="006519D2">
        <w:t>Ej fastställt</w:t>
      </w:r>
      <w:r w:rsidR="00CB236F">
        <w:t>”.</w:t>
      </w:r>
    </w:p>
    <w:p w14:paraId="08B4BF1D" w14:textId="77777777" w:rsidR="0006445A" w:rsidRPr="00D2355A" w:rsidRDefault="008607ED" w:rsidP="0006445A">
      <w:pPr>
        <w:numPr>
          <w:ilvl w:val="0"/>
          <w:numId w:val="1"/>
        </w:numPr>
      </w:pPr>
      <w:r>
        <w:t xml:space="preserve">Uppgifter kan komma in från tredje part eller från kunden själv som gör att tidigare beslut ändras. </w:t>
      </w:r>
      <w:r w:rsidR="006519D2">
        <w:t xml:space="preserve">När CSN prövar om en ev. ändring påverkar beslutet om </w:t>
      </w:r>
      <w:r w:rsidR="00CB236F">
        <w:t>studiemedel, visas</w:t>
      </w:r>
      <w:r w:rsidR="006519D2">
        <w:t xml:space="preserve"> det genom att status på ärendet är </w:t>
      </w:r>
      <w:r w:rsidR="00CB236F">
        <w:t>”</w:t>
      </w:r>
      <w:r w:rsidR="006519D2">
        <w:t>initierat</w:t>
      </w:r>
      <w:r w:rsidR="00CB236F">
        <w:t>”</w:t>
      </w:r>
      <w:r w:rsidR="006519D2">
        <w:t xml:space="preserve"> i kombination med att det finns uppgifter i tabellen ’Beviljade studiemedel’.</w:t>
      </w:r>
    </w:p>
    <w:p w14:paraId="19147336" w14:textId="77777777" w:rsidR="0006445A" w:rsidRDefault="0006445A"/>
    <w:sectPr w:rsidR="00064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F7300"/>
    <w:multiLevelType w:val="hybridMultilevel"/>
    <w:tmpl w:val="3894CD16"/>
    <w:lvl w:ilvl="0" w:tplc="46CE9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AEBFA8">
      <w:start w:val="362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D84E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D68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E89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EE1A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84A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F2C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8A5C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D0A24D7"/>
    <w:multiLevelType w:val="hybridMultilevel"/>
    <w:tmpl w:val="2C542088"/>
    <w:lvl w:ilvl="0" w:tplc="7B342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807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946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684E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104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560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44B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54B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2C2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88794176">
    <w:abstractNumId w:val="0"/>
  </w:num>
  <w:num w:numId="2" w16cid:durableId="661395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445A"/>
    <w:rsid w:val="00004A4D"/>
    <w:rsid w:val="0006445A"/>
    <w:rsid w:val="006462ED"/>
    <w:rsid w:val="006519D2"/>
    <w:rsid w:val="007052A9"/>
    <w:rsid w:val="008607ED"/>
    <w:rsid w:val="0093444C"/>
    <w:rsid w:val="00B03D25"/>
    <w:rsid w:val="00CB236F"/>
    <w:rsid w:val="00F1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6784A04"/>
  <w15:chartTrackingRefBased/>
  <w15:docId w15:val="{C59607F8-4E87-492D-AA4D-EF9C2374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445A"/>
    <w:pPr>
      <w:spacing w:after="200" w:line="276" w:lineRule="auto"/>
    </w:pPr>
    <w:rPr>
      <w:rFonts w:ascii="Calibri" w:eastAsia="SimSun" w:hAnsi="Calibri"/>
      <w:sz w:val="22"/>
      <w:szCs w:val="22"/>
      <w:lang w:eastAsia="zh-CN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Processbeskrivningar</vt:lpstr>
    </vt:vector>
  </TitlesOfParts>
  <Company>Högskolan i Borås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Processbeskrivningar</dc:title>
  <dc:subject/>
  <dc:creator>owe</dc:creator>
  <cp:keywords/>
  <cp:lastModifiedBy>Moberg Chiraz CSN</cp:lastModifiedBy>
  <cp:revision>2</cp:revision>
  <dcterms:created xsi:type="dcterms:W3CDTF">2026-02-26T09:29:00Z</dcterms:created>
  <dcterms:modified xsi:type="dcterms:W3CDTF">2026-02-26T09:29:00Z</dcterms:modified>
</cp:coreProperties>
</file>