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B9485" w14:textId="77777777" w:rsidR="0006445A" w:rsidRPr="00D2355A" w:rsidRDefault="0006445A" w:rsidP="0006445A">
      <w:pPr>
        <w:rPr>
          <w:b/>
          <w:sz w:val="28"/>
          <w:szCs w:val="28"/>
        </w:rPr>
      </w:pPr>
      <w:r w:rsidRPr="00D2355A">
        <w:rPr>
          <w:b/>
          <w:sz w:val="28"/>
          <w:szCs w:val="28"/>
        </w:rPr>
        <w:t>Processbeskrivning</w:t>
      </w:r>
    </w:p>
    <w:p w14:paraId="048D6353" w14:textId="77777777" w:rsidR="0006445A" w:rsidRDefault="00D96082" w:rsidP="0006445A">
      <w:pPr>
        <w:rPr>
          <w:b/>
          <w:sz w:val="24"/>
          <w:szCs w:val="24"/>
        </w:rPr>
      </w:pPr>
      <w:r>
        <w:rPr>
          <w:b/>
          <w:sz w:val="24"/>
          <w:szCs w:val="24"/>
        </w:rPr>
        <w:t>Studiehjälp</w:t>
      </w:r>
      <w:r w:rsidR="00B36752">
        <w:rPr>
          <w:b/>
          <w:sz w:val="24"/>
          <w:szCs w:val="24"/>
        </w:rPr>
        <w:t xml:space="preserve"> och lärlingsersättning</w:t>
      </w:r>
    </w:p>
    <w:p w14:paraId="3F2812B0" w14:textId="77777777" w:rsidR="00B36752" w:rsidRDefault="00B36752" w:rsidP="0006445A">
      <w:pPr>
        <w:numPr>
          <w:ilvl w:val="0"/>
          <w:numId w:val="1"/>
        </w:numPr>
      </w:pPr>
      <w:r>
        <w:t xml:space="preserve">Studiehjälpen består av olika bidrag – studiebidrag, extra tillägg och inackorderingstillägg   </w:t>
      </w:r>
    </w:p>
    <w:p w14:paraId="7F61B1DD" w14:textId="77777777" w:rsidR="00614314" w:rsidRDefault="00614314" w:rsidP="0006445A">
      <w:pPr>
        <w:numPr>
          <w:ilvl w:val="0"/>
          <w:numId w:val="1"/>
        </w:numPr>
      </w:pPr>
      <w:r>
        <w:t xml:space="preserve">Sedan 1 januari 2014 finns också lärlingsersättning. </w:t>
      </w:r>
    </w:p>
    <w:p w14:paraId="61F179DF" w14:textId="77777777" w:rsidR="0006445A" w:rsidRDefault="00D96082" w:rsidP="0006445A">
      <w:pPr>
        <w:numPr>
          <w:ilvl w:val="0"/>
          <w:numId w:val="1"/>
        </w:numPr>
      </w:pPr>
      <w:r>
        <w:t>Skolan rapporterar elevens studier</w:t>
      </w:r>
      <w:r w:rsidR="00F14C43">
        <w:t>.</w:t>
      </w:r>
      <w:r>
        <w:t xml:space="preserve"> Gäller skolor i Sverige. Rapporteringen görs per läsår.</w:t>
      </w:r>
    </w:p>
    <w:p w14:paraId="07DD5355" w14:textId="77777777" w:rsidR="00D96082" w:rsidRDefault="00D96082" w:rsidP="0006445A">
      <w:pPr>
        <w:numPr>
          <w:ilvl w:val="0"/>
          <w:numId w:val="1"/>
        </w:numPr>
      </w:pPr>
      <w:r>
        <w:t xml:space="preserve">Ärende för </w:t>
      </w:r>
      <w:r w:rsidR="00377C84">
        <w:t>studiebidrag</w:t>
      </w:r>
      <w:r w:rsidR="00402035">
        <w:t>/lärlingsersättning</w:t>
      </w:r>
      <w:r w:rsidR="00377C84">
        <w:t xml:space="preserve"> läggs</w:t>
      </w:r>
      <w:r>
        <w:t xml:space="preserve"> upp.</w:t>
      </w:r>
      <w:r w:rsidR="00377C84">
        <w:t xml:space="preserve"> Visas genom att värden finns i tabellen ”Studiehjälp”.</w:t>
      </w:r>
    </w:p>
    <w:p w14:paraId="50D285E5" w14:textId="77777777" w:rsidR="00D96082" w:rsidRDefault="00D96082" w:rsidP="0006445A">
      <w:pPr>
        <w:numPr>
          <w:ilvl w:val="0"/>
          <w:numId w:val="1"/>
        </w:numPr>
      </w:pPr>
      <w:r>
        <w:t>Ärende studiebidrag prövas maskinellt. När</w:t>
      </w:r>
      <w:r w:rsidR="003F5421">
        <w:t xml:space="preserve"> i tiden </w:t>
      </w:r>
      <w:r>
        <w:t xml:space="preserve">prövningen </w:t>
      </w:r>
      <w:r w:rsidR="00C81DC8">
        <w:t>görs beror på när eleven fyller 16 år.</w:t>
      </w:r>
    </w:p>
    <w:p w14:paraId="37678DDD" w14:textId="77777777" w:rsidR="00D96082" w:rsidRPr="00D2355A" w:rsidRDefault="00C81DC8" w:rsidP="00377C84">
      <w:pPr>
        <w:numPr>
          <w:ilvl w:val="0"/>
          <w:numId w:val="1"/>
        </w:numPr>
      </w:pPr>
      <w:r>
        <w:t>Om studiebidrag</w:t>
      </w:r>
      <w:r w:rsidR="00614314">
        <w:t>/lärlingsersättning</w:t>
      </w:r>
      <w:r>
        <w:t xml:space="preserve"> beviljas </w:t>
      </w:r>
      <w:r w:rsidR="00377C84">
        <w:t xml:space="preserve">visas uppgifter i tabellen ”Beviljad studiehjälp” och en utbetalningsplan skapas. Utbetalningsplanen visas i tabellen ”Utbetalningsplan”. </w:t>
      </w:r>
    </w:p>
    <w:p w14:paraId="1ABA31CD" w14:textId="77777777" w:rsidR="00C81DC8" w:rsidRDefault="00C81DC8" w:rsidP="0006445A">
      <w:pPr>
        <w:numPr>
          <w:ilvl w:val="0"/>
          <w:numId w:val="1"/>
        </w:numPr>
      </w:pPr>
      <w:r>
        <w:t>Elev/förälder kan söka inackorderingstillägg, extra tillägg eller studiehjälp för studier utomlands.</w:t>
      </w:r>
    </w:p>
    <w:p w14:paraId="74154921" w14:textId="77777777" w:rsidR="00614314" w:rsidRPr="0069686B" w:rsidRDefault="00614314" w:rsidP="00614314">
      <w:pPr>
        <w:numPr>
          <w:ilvl w:val="0"/>
          <w:numId w:val="1"/>
        </w:numPr>
        <w:rPr>
          <w:b/>
        </w:rPr>
      </w:pPr>
      <w:r>
        <w:t xml:space="preserve">Elev/förälder kan söka lärlingsersättning för studier på en gymnasial lärlingsutbildning där minst hälften av utbildningen genomförs på en arbetsplats. </w:t>
      </w:r>
    </w:p>
    <w:p w14:paraId="6FA37803" w14:textId="77777777" w:rsidR="0006445A" w:rsidRDefault="00F14C43" w:rsidP="0006445A">
      <w:pPr>
        <w:numPr>
          <w:ilvl w:val="0"/>
          <w:numId w:val="1"/>
        </w:numPr>
      </w:pPr>
      <w:r>
        <w:t xml:space="preserve">Ansökan </w:t>
      </w:r>
      <w:proofErr w:type="spellStart"/>
      <w:r>
        <w:t>ankomstregistreras</w:t>
      </w:r>
      <w:proofErr w:type="spellEnd"/>
      <w:r>
        <w:t xml:space="preserve"> och </w:t>
      </w:r>
      <w:proofErr w:type="spellStart"/>
      <w:r>
        <w:t>grundregistreras</w:t>
      </w:r>
      <w:proofErr w:type="spellEnd"/>
      <w:r w:rsidR="00377C84">
        <w:t>. Status på ärendet sätts till Initierat och värden finns i tabellen ”Studiehjälp”. Har grundregistrering kunnat göras finns även värden i ”Sökta tider”</w:t>
      </w:r>
    </w:p>
    <w:p w14:paraId="6D400333" w14:textId="77777777" w:rsidR="00F14C43" w:rsidRDefault="00F14C43" w:rsidP="0006445A">
      <w:pPr>
        <w:numPr>
          <w:ilvl w:val="0"/>
          <w:numId w:val="1"/>
        </w:numPr>
      </w:pPr>
      <w:r>
        <w:t>Saknas något i ansökan skickas en komplettering ut till kunden.</w:t>
      </w:r>
    </w:p>
    <w:p w14:paraId="4BC79BF6" w14:textId="77777777" w:rsidR="0006445A" w:rsidRPr="00D2355A" w:rsidRDefault="00F14C43" w:rsidP="0006445A">
      <w:pPr>
        <w:numPr>
          <w:ilvl w:val="0"/>
          <w:numId w:val="1"/>
        </w:numPr>
      </w:pPr>
      <w:r>
        <w:t>Om inget saknas i ansökan alt att komplettering kommit in så fattas beslut(Bifall/Avslag/Avslut)</w:t>
      </w:r>
    </w:p>
    <w:p w14:paraId="43B6FD84" w14:textId="77777777" w:rsidR="00377C84" w:rsidRDefault="00377C84" w:rsidP="00377C84">
      <w:pPr>
        <w:numPr>
          <w:ilvl w:val="0"/>
          <w:numId w:val="1"/>
        </w:numPr>
      </w:pPr>
      <w:r w:rsidRPr="00D2355A">
        <w:t xml:space="preserve">Om </w:t>
      </w:r>
      <w:r>
        <w:t xml:space="preserve">ansökan </w:t>
      </w:r>
      <w:r w:rsidRPr="00D2355A">
        <w:t xml:space="preserve">beviljas </w:t>
      </w:r>
      <w:r>
        <w:t xml:space="preserve">visas uppgifter i tabellen ”Beviljad studiehjälp” och en utbetalningsplan skapas. Utbetalningsplanen visas i tabellen ”Utbetalningsplan”. </w:t>
      </w:r>
    </w:p>
    <w:p w14:paraId="5E287FED" w14:textId="77777777" w:rsidR="00F14C43" w:rsidRDefault="00F14C43" w:rsidP="00C81DC8">
      <w:pPr>
        <w:numPr>
          <w:ilvl w:val="0"/>
          <w:numId w:val="1"/>
        </w:numPr>
      </w:pPr>
      <w:r>
        <w:t xml:space="preserve">Om ansökan inte beviljas saknas uppgifter om </w:t>
      </w:r>
      <w:r w:rsidR="00377C84">
        <w:t>beviljat</w:t>
      </w:r>
      <w:r>
        <w:t xml:space="preserve"> st</w:t>
      </w:r>
      <w:r w:rsidR="00C81DC8">
        <w:t>öd</w:t>
      </w:r>
      <w:r>
        <w:t xml:space="preserve"> och utbetalningsplan.</w:t>
      </w:r>
      <w:r w:rsidR="0006445A" w:rsidRPr="00D2355A">
        <w:t xml:space="preserve"> </w:t>
      </w:r>
    </w:p>
    <w:p w14:paraId="52C0922B" w14:textId="77777777" w:rsidR="0051742D" w:rsidRDefault="00C81DC8" w:rsidP="0051742D">
      <w:pPr>
        <w:numPr>
          <w:ilvl w:val="0"/>
          <w:numId w:val="1"/>
        </w:numPr>
      </w:pPr>
      <w:r>
        <w:t>Skolan kan rap</w:t>
      </w:r>
      <w:r w:rsidR="0049204F">
        <w:t>portera ändring av elevens studi</w:t>
      </w:r>
      <w:r>
        <w:t>er eller up</w:t>
      </w:r>
      <w:r w:rsidR="008607ED">
        <w:t>pgifter kan komma</w:t>
      </w:r>
      <w:r>
        <w:t xml:space="preserve"> från</w:t>
      </w:r>
      <w:r w:rsidR="008607ED">
        <w:t xml:space="preserve"> kunden själv som gör att tidigare beslut </w:t>
      </w:r>
      <w:r w:rsidR="009E784C">
        <w:t xml:space="preserve">om </w:t>
      </w:r>
      <w:r w:rsidR="003F5421">
        <w:t>studiehjälp (studiebidrag, inackorderingstillägg, extra tillägg)</w:t>
      </w:r>
      <w:r w:rsidR="009E784C">
        <w:t xml:space="preserve"> </w:t>
      </w:r>
      <w:r w:rsidR="00614314">
        <w:t xml:space="preserve">eller lärlingsersättning </w:t>
      </w:r>
      <w:r w:rsidR="008607ED">
        <w:t xml:space="preserve">ändras. </w:t>
      </w:r>
      <w:r w:rsidR="00377C84">
        <w:t xml:space="preserve">När CSN prövar om en ev. ändring påverkar beslutet visas det genom att status på ärendet är ”initierat” i kombination med att det finns uppgifter i tabellen </w:t>
      </w:r>
      <w:r w:rsidR="00AC1E9E">
        <w:t>”Beviljad studiehjälp”</w:t>
      </w:r>
      <w:r w:rsidR="00377C84">
        <w:t>.</w:t>
      </w:r>
    </w:p>
    <w:p w14:paraId="40B46B1D" w14:textId="77777777" w:rsidR="0069686B" w:rsidRPr="0069686B" w:rsidRDefault="0069686B" w:rsidP="00C601EA">
      <w:pPr>
        <w:ind w:left="720"/>
      </w:pPr>
    </w:p>
    <w:p w14:paraId="647E1C29" w14:textId="77777777" w:rsidR="0006445A" w:rsidRDefault="0006445A"/>
    <w:sectPr w:rsidR="00064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F7300"/>
    <w:multiLevelType w:val="hybridMultilevel"/>
    <w:tmpl w:val="3894CD16"/>
    <w:lvl w:ilvl="0" w:tplc="46CE9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AEBFA8">
      <w:start w:val="362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D84E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D68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E891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EE1A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84A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F2C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8A5C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151086F"/>
    <w:multiLevelType w:val="hybridMultilevel"/>
    <w:tmpl w:val="58D444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A24D7"/>
    <w:multiLevelType w:val="hybridMultilevel"/>
    <w:tmpl w:val="2C542088"/>
    <w:lvl w:ilvl="0" w:tplc="7B342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807F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946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684E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104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5607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44B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54B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2C2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26259548">
    <w:abstractNumId w:val="0"/>
  </w:num>
  <w:num w:numId="2" w16cid:durableId="2067221581">
    <w:abstractNumId w:val="2"/>
  </w:num>
  <w:num w:numId="3" w16cid:durableId="1479153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445A"/>
    <w:rsid w:val="00004A4D"/>
    <w:rsid w:val="000436C7"/>
    <w:rsid w:val="0006445A"/>
    <w:rsid w:val="00223851"/>
    <w:rsid w:val="0030458E"/>
    <w:rsid w:val="00377C84"/>
    <w:rsid w:val="003F5421"/>
    <w:rsid w:val="00402035"/>
    <w:rsid w:val="0049204F"/>
    <w:rsid w:val="0051742D"/>
    <w:rsid w:val="0052161D"/>
    <w:rsid w:val="00614314"/>
    <w:rsid w:val="00660BB0"/>
    <w:rsid w:val="0069686B"/>
    <w:rsid w:val="008607ED"/>
    <w:rsid w:val="00923635"/>
    <w:rsid w:val="00997113"/>
    <w:rsid w:val="009A1C84"/>
    <w:rsid w:val="009E784C"/>
    <w:rsid w:val="00A3336C"/>
    <w:rsid w:val="00AC1E9E"/>
    <w:rsid w:val="00AD1601"/>
    <w:rsid w:val="00B36752"/>
    <w:rsid w:val="00C44708"/>
    <w:rsid w:val="00C601EA"/>
    <w:rsid w:val="00C725A8"/>
    <w:rsid w:val="00C81DC8"/>
    <w:rsid w:val="00CA6009"/>
    <w:rsid w:val="00D96082"/>
    <w:rsid w:val="00ED3A7B"/>
    <w:rsid w:val="00F14C43"/>
    <w:rsid w:val="00F20C4F"/>
    <w:rsid w:val="00FF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743AFAC"/>
  <w15:chartTrackingRefBased/>
  <w15:docId w15:val="{07444743-2A29-4CF2-85AB-B1DF3D7F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445A"/>
    <w:pPr>
      <w:spacing w:after="200" w:line="276" w:lineRule="auto"/>
    </w:pPr>
    <w:rPr>
      <w:rFonts w:ascii="Calibri" w:eastAsia="SimSun" w:hAnsi="Calibri"/>
      <w:sz w:val="22"/>
      <w:szCs w:val="22"/>
      <w:lang w:eastAsia="zh-CN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allongtext">
    <w:name w:val="Balloon Text"/>
    <w:basedOn w:val="Normal"/>
    <w:link w:val="BallongtextChar"/>
    <w:rsid w:val="00B36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B36752"/>
    <w:rPr>
      <w:rFonts w:ascii="Tahoma" w:eastAsia="SimSun" w:hAnsi="Tahoma" w:cs="Tahoma"/>
      <w:sz w:val="16"/>
      <w:szCs w:val="16"/>
      <w:lang w:eastAsia="zh-CN"/>
    </w:rPr>
  </w:style>
  <w:style w:type="character" w:styleId="Kommentarsreferens">
    <w:name w:val="annotation reference"/>
    <w:rsid w:val="00C601EA"/>
    <w:rPr>
      <w:sz w:val="16"/>
      <w:szCs w:val="16"/>
    </w:rPr>
  </w:style>
  <w:style w:type="paragraph" w:styleId="Kommentarer">
    <w:name w:val="annotation text"/>
    <w:basedOn w:val="Normal"/>
    <w:link w:val="KommentarerChar"/>
    <w:rsid w:val="00C601EA"/>
    <w:rPr>
      <w:sz w:val="20"/>
      <w:szCs w:val="20"/>
    </w:rPr>
  </w:style>
  <w:style w:type="character" w:customStyle="1" w:styleId="KommentarerChar">
    <w:name w:val="Kommentarer Char"/>
    <w:link w:val="Kommentarer"/>
    <w:rsid w:val="00C601EA"/>
    <w:rPr>
      <w:rFonts w:ascii="Calibri" w:eastAsia="SimSun" w:hAnsi="Calibri"/>
      <w:lang w:eastAsia="zh-CN"/>
    </w:rPr>
  </w:style>
  <w:style w:type="paragraph" w:styleId="Kommentarsmne">
    <w:name w:val="annotation subject"/>
    <w:basedOn w:val="Kommentarer"/>
    <w:next w:val="Kommentarer"/>
    <w:link w:val="KommentarsmneChar"/>
    <w:rsid w:val="00C601EA"/>
    <w:rPr>
      <w:b/>
      <w:bCs/>
    </w:rPr>
  </w:style>
  <w:style w:type="character" w:customStyle="1" w:styleId="KommentarsmneChar">
    <w:name w:val="Kommentarsämne Char"/>
    <w:link w:val="Kommentarsmne"/>
    <w:rsid w:val="00C601EA"/>
    <w:rPr>
      <w:rFonts w:ascii="Calibri" w:eastAsia="SimSun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FD731-EAC3-4F62-B189-700BD6D0B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1641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Processbeskrivningar</vt:lpstr>
    </vt:vector>
  </TitlesOfParts>
  <Company>Högskolan i Borås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Processbeskrivningar</dc:title>
  <dc:subject/>
  <dc:creator>owe</dc:creator>
  <cp:keywords/>
  <cp:lastModifiedBy>Moberg Chiraz CSN</cp:lastModifiedBy>
  <cp:revision>2</cp:revision>
  <dcterms:created xsi:type="dcterms:W3CDTF">2026-02-26T09:29:00Z</dcterms:created>
  <dcterms:modified xsi:type="dcterms:W3CDTF">2026-02-26T09:29:00Z</dcterms:modified>
</cp:coreProperties>
</file>